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A34E" w14:textId="2B2F4874" w:rsidR="00A331C1" w:rsidRPr="005B1BB9" w:rsidRDefault="00121FF1" w:rsidP="00927AEC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21FF1">
        <w:rPr>
          <w:rFonts w:asciiTheme="minorHAnsi" w:hAnsiTheme="minorHAnsi" w:cstheme="minorHAnsi"/>
          <w:b/>
          <w:sz w:val="18"/>
          <w:szCs w:val="18"/>
          <w:u w:val="single"/>
        </w:rPr>
        <w:t xml:space="preserve">INVITACIÓN A PRESENTAR EXPRESIÓN DE </w:t>
      </w:r>
      <w:r w:rsidR="00927AEC" w:rsidRPr="00121FF1">
        <w:rPr>
          <w:rFonts w:asciiTheme="minorHAnsi" w:hAnsiTheme="minorHAnsi" w:cstheme="minorHAnsi"/>
          <w:b/>
          <w:sz w:val="18"/>
          <w:szCs w:val="18"/>
          <w:u w:val="single"/>
        </w:rPr>
        <w:t xml:space="preserve">INTERÉS </w:t>
      </w:r>
      <w:r w:rsidR="00927AEC">
        <w:rPr>
          <w:rFonts w:asciiTheme="minorHAnsi" w:hAnsiTheme="minorHAnsi" w:cstheme="minorHAnsi"/>
          <w:b/>
          <w:sz w:val="18"/>
          <w:szCs w:val="18"/>
          <w:u w:val="single"/>
        </w:rPr>
        <w:t xml:space="preserve">-   </w:t>
      </w:r>
      <w:r w:rsidRPr="00121FF1">
        <w:rPr>
          <w:rFonts w:asciiTheme="minorHAnsi" w:hAnsiTheme="minorHAnsi" w:cstheme="minorHAnsi"/>
          <w:b/>
          <w:sz w:val="18"/>
          <w:szCs w:val="18"/>
          <w:u w:val="single"/>
        </w:rPr>
        <w:t>REPÚBLICA DEL PERÚ</w:t>
      </w:r>
    </w:p>
    <w:p w14:paraId="5D0EA0F4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84A7249" w14:textId="77777777" w:rsidR="00A331C1" w:rsidRPr="005B1BB9" w:rsidRDefault="00086C49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PRÉSTAMO BID No 4399</w:t>
      </w:r>
      <w:r w:rsidR="00A331C1" w:rsidRPr="005B1BB9">
        <w:rPr>
          <w:rFonts w:asciiTheme="minorHAnsi" w:hAnsiTheme="minorHAnsi" w:cstheme="minorHAnsi"/>
          <w:b/>
          <w:sz w:val="18"/>
          <w:szCs w:val="18"/>
        </w:rPr>
        <w:t>/OC-PE</w:t>
      </w:r>
    </w:p>
    <w:p w14:paraId="5B0F5EC4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7B375F8" w14:textId="0B3C43BD" w:rsidR="00A331C1" w:rsidRPr="008E27C9" w:rsidRDefault="00A331C1" w:rsidP="00EF0C44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</w:t>
      </w:r>
      <w:r w:rsidRPr="006A7D18">
        <w:rPr>
          <w:rFonts w:asciiTheme="minorHAnsi" w:hAnsiTheme="minorHAnsi" w:cstheme="minorHAnsi"/>
          <w:sz w:val="17"/>
          <w:szCs w:val="17"/>
        </w:rPr>
        <w:t>Contrato de Préstamo suscrito por</w:t>
      </w:r>
      <w:r w:rsidR="00497013" w:rsidRPr="006A7D18">
        <w:rPr>
          <w:rFonts w:asciiTheme="minorHAnsi" w:hAnsiTheme="minorHAnsi" w:cstheme="minorHAnsi"/>
          <w:sz w:val="17"/>
          <w:szCs w:val="17"/>
        </w:rPr>
        <w:t xml:space="preserve"> el Gobierno de la República de</w:t>
      </w:r>
      <w:r w:rsidRPr="006A7D18">
        <w:rPr>
          <w:rFonts w:asciiTheme="minorHAnsi" w:hAnsiTheme="minorHAnsi" w:cstheme="minorHAnsi"/>
          <w:sz w:val="17"/>
          <w:szCs w:val="17"/>
        </w:rPr>
        <w:t xml:space="preserve"> Perú y el Banco Interamericano de Desarro</w:t>
      </w:r>
      <w:r w:rsidR="00086C49" w:rsidRPr="006A7D18">
        <w:rPr>
          <w:rFonts w:asciiTheme="minorHAnsi" w:hAnsiTheme="minorHAnsi" w:cstheme="minorHAnsi"/>
          <w:sz w:val="17"/>
          <w:szCs w:val="17"/>
        </w:rPr>
        <w:t>llo (BID),</w:t>
      </w:r>
      <w:r w:rsidR="00560956" w:rsidRPr="006A7D18">
        <w:rPr>
          <w:rFonts w:asciiTheme="minorHAnsi" w:hAnsiTheme="minorHAnsi" w:cstheme="minorHAnsi"/>
          <w:sz w:val="17"/>
          <w:szCs w:val="17"/>
        </w:rPr>
        <w:t xml:space="preserve"> para financiar el Proyecto señalado en el </w:t>
      </w:r>
      <w:r w:rsidR="00E971F5" w:rsidRPr="006A7D18">
        <w:rPr>
          <w:rFonts w:asciiTheme="minorHAnsi" w:hAnsiTheme="minorHAnsi" w:cstheme="minorHAnsi"/>
          <w:sz w:val="17"/>
          <w:szCs w:val="17"/>
        </w:rPr>
        <w:t>título</w:t>
      </w:r>
      <w:r w:rsidR="00560956" w:rsidRPr="006A7D18">
        <w:rPr>
          <w:rFonts w:asciiTheme="minorHAnsi" w:hAnsiTheme="minorHAnsi" w:cstheme="minorHAnsi"/>
          <w:sz w:val="17"/>
          <w:szCs w:val="17"/>
        </w:rPr>
        <w:t>, se contempla la implementación de la acción denominada “Habilitación de once (11) Centros MAC emblemáticos, como parte de la actividad Modelo de Atención al Ciudadano de Servicios Integrados sostenible y funcionando.</w:t>
      </w:r>
      <w:r w:rsidR="0067540B">
        <w:rPr>
          <w:rFonts w:asciiTheme="minorHAnsi" w:hAnsiTheme="minorHAnsi" w:cstheme="minorHAnsi"/>
          <w:sz w:val="17"/>
          <w:szCs w:val="17"/>
        </w:rPr>
        <w:t xml:space="preserve"> </w:t>
      </w:r>
      <w:r w:rsidR="00560956" w:rsidRPr="006A7D18">
        <w:rPr>
          <w:rFonts w:asciiTheme="minorHAnsi" w:hAnsiTheme="minorHAnsi" w:cstheme="minorHAnsi"/>
          <w:sz w:val="17"/>
          <w:szCs w:val="17"/>
        </w:rPr>
        <w:t>L</w:t>
      </w:r>
      <w:r w:rsidR="00086C49" w:rsidRPr="006A7D18">
        <w:rPr>
          <w:rFonts w:asciiTheme="minorHAnsi" w:hAnsiTheme="minorHAnsi" w:cstheme="minorHAnsi"/>
          <w:sz w:val="17"/>
          <w:szCs w:val="17"/>
        </w:rPr>
        <w:t>a Unidad Ejecutora 0</w:t>
      </w:r>
      <w:r w:rsidRPr="006A7D18">
        <w:rPr>
          <w:rFonts w:asciiTheme="minorHAnsi" w:hAnsiTheme="minorHAnsi" w:cstheme="minorHAnsi"/>
          <w:sz w:val="17"/>
          <w:szCs w:val="17"/>
        </w:rPr>
        <w:t xml:space="preserve">18 </w:t>
      </w:r>
      <w:r w:rsidR="00086C49" w:rsidRPr="006A7D18">
        <w:rPr>
          <w:rFonts w:asciiTheme="minorHAnsi" w:hAnsiTheme="minorHAnsi" w:cstheme="minorHAnsi"/>
          <w:sz w:val="17"/>
          <w:szCs w:val="17"/>
        </w:rPr>
        <w:t xml:space="preserve">Mejoramiento de Servicios a </w:t>
      </w:r>
      <w:r w:rsidR="00086C49" w:rsidRPr="008E27C9">
        <w:rPr>
          <w:rFonts w:asciiTheme="minorHAnsi" w:hAnsiTheme="minorHAnsi" w:cstheme="minorHAnsi"/>
          <w:sz w:val="17"/>
          <w:szCs w:val="17"/>
        </w:rPr>
        <w:t>Ciudadanos y Empresas</w:t>
      </w:r>
      <w:r w:rsidRPr="008E27C9">
        <w:rPr>
          <w:rFonts w:asciiTheme="minorHAnsi" w:hAnsiTheme="minorHAnsi" w:cstheme="minorHAnsi"/>
          <w:sz w:val="17"/>
          <w:szCs w:val="17"/>
        </w:rPr>
        <w:t xml:space="preserve">, </w:t>
      </w:r>
      <w:r w:rsidR="00A61AC9" w:rsidRPr="008E27C9">
        <w:rPr>
          <w:rFonts w:asciiTheme="minorHAnsi" w:hAnsiTheme="minorHAnsi" w:cstheme="minorHAnsi"/>
          <w:sz w:val="17"/>
          <w:szCs w:val="17"/>
        </w:rPr>
        <w:t xml:space="preserve">a </w:t>
      </w:r>
      <w:r w:rsidR="00497013" w:rsidRPr="008E27C9">
        <w:rPr>
          <w:rFonts w:asciiTheme="minorHAnsi" w:hAnsiTheme="minorHAnsi" w:cstheme="minorHAnsi"/>
          <w:sz w:val="17"/>
          <w:szCs w:val="17"/>
        </w:rPr>
        <w:t>través del</w:t>
      </w:r>
      <w:r w:rsidR="00B4596A" w:rsidRPr="008E27C9">
        <w:rPr>
          <w:rFonts w:asciiTheme="minorHAnsi" w:hAnsiTheme="minorHAnsi" w:cstheme="minorHAnsi"/>
          <w:sz w:val="17"/>
          <w:szCs w:val="17"/>
        </w:rPr>
        <w:t xml:space="preserve"> </w:t>
      </w:r>
      <w:r w:rsidR="00086C49" w:rsidRPr="008E27C9">
        <w:rPr>
          <w:rFonts w:asciiTheme="minorHAnsi" w:hAnsiTheme="minorHAnsi" w:cstheme="minorHAnsi"/>
          <w:sz w:val="17"/>
          <w:szCs w:val="17"/>
        </w:rPr>
        <w:t>PROMSACE</w:t>
      </w:r>
      <w:r w:rsidR="00B4596A" w:rsidRPr="008E27C9">
        <w:rPr>
          <w:rFonts w:asciiTheme="minorHAnsi" w:hAnsiTheme="minorHAnsi" w:cstheme="minorHAnsi"/>
          <w:sz w:val="17"/>
          <w:szCs w:val="17"/>
        </w:rPr>
        <w:t xml:space="preserve"> se propone </w:t>
      </w:r>
      <w:r w:rsidRPr="008E27C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</w:t>
      </w:r>
      <w:r w:rsidR="002E7FB2" w:rsidRPr="008E27C9">
        <w:rPr>
          <w:rFonts w:asciiTheme="minorHAnsi" w:hAnsiTheme="minorHAnsi" w:cstheme="minorHAnsi"/>
          <w:sz w:val="17"/>
          <w:szCs w:val="17"/>
        </w:rPr>
        <w:t xml:space="preserve">la </w:t>
      </w:r>
      <w:r w:rsidRPr="008E27C9">
        <w:rPr>
          <w:rFonts w:asciiTheme="minorHAnsi" w:hAnsiTheme="minorHAnsi" w:cstheme="minorHAnsi"/>
          <w:sz w:val="17"/>
          <w:szCs w:val="17"/>
        </w:rPr>
        <w:t>contrata</w:t>
      </w:r>
      <w:r w:rsidR="002E7FB2" w:rsidRPr="008E27C9">
        <w:rPr>
          <w:rFonts w:asciiTheme="minorHAnsi" w:hAnsiTheme="minorHAnsi" w:cstheme="minorHAnsi"/>
          <w:sz w:val="17"/>
          <w:szCs w:val="17"/>
        </w:rPr>
        <w:t>ción de l</w:t>
      </w:r>
      <w:r w:rsidR="00874C40">
        <w:rPr>
          <w:rFonts w:asciiTheme="minorHAnsi" w:hAnsiTheme="minorHAnsi" w:cstheme="minorHAnsi"/>
          <w:sz w:val="17"/>
          <w:szCs w:val="17"/>
        </w:rPr>
        <w:t>os</w:t>
      </w:r>
      <w:r w:rsidR="002E7FB2" w:rsidRPr="008E27C9">
        <w:rPr>
          <w:rFonts w:asciiTheme="minorHAnsi" w:hAnsiTheme="minorHAnsi" w:cstheme="minorHAnsi"/>
          <w:sz w:val="17"/>
          <w:szCs w:val="17"/>
        </w:rPr>
        <w:t xml:space="preserve"> siguiente</w:t>
      </w:r>
      <w:r w:rsidR="00874C40">
        <w:rPr>
          <w:rFonts w:asciiTheme="minorHAnsi" w:hAnsiTheme="minorHAnsi" w:cstheme="minorHAnsi"/>
          <w:sz w:val="17"/>
          <w:szCs w:val="17"/>
        </w:rPr>
        <w:t>s</w:t>
      </w:r>
      <w:r w:rsidR="002E7FB2" w:rsidRPr="008E27C9">
        <w:rPr>
          <w:rFonts w:asciiTheme="minorHAnsi" w:hAnsiTheme="minorHAnsi" w:cstheme="minorHAnsi"/>
          <w:sz w:val="17"/>
          <w:szCs w:val="17"/>
        </w:rPr>
        <w:t xml:space="preserve">: </w:t>
      </w:r>
      <w:r w:rsidRPr="008E27C9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3AC19318" w14:textId="77777777" w:rsidR="007D7FD7" w:rsidRPr="008E27C9" w:rsidRDefault="007D7FD7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3544"/>
        <w:gridCol w:w="1834"/>
        <w:gridCol w:w="1834"/>
        <w:gridCol w:w="1547"/>
      </w:tblGrid>
      <w:tr w:rsidR="00C26655" w:rsidRPr="00893BFA" w14:paraId="56ECFF8F" w14:textId="6B905445" w:rsidTr="000847CA">
        <w:trPr>
          <w:trHeight w:val="3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34DE0E" w14:textId="77777777" w:rsidR="00C26655" w:rsidRPr="00893BFA" w:rsidRDefault="00C26655" w:rsidP="00C266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893BFA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N°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378CDD" w14:textId="77777777" w:rsidR="00C26655" w:rsidRPr="00893BFA" w:rsidRDefault="00C26655" w:rsidP="00C266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893BFA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023C297" w14:textId="07957FCE" w:rsidR="00C26655" w:rsidRPr="00893BFA" w:rsidRDefault="00C26655" w:rsidP="00C266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Localidades</w:t>
            </w:r>
            <w:r w:rsidR="00FE5FCC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 (*)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</w:tcPr>
          <w:p w14:paraId="67D8606E" w14:textId="57E93CAF" w:rsidR="00C26655" w:rsidRPr="00893BFA" w:rsidRDefault="00C26655" w:rsidP="00C266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893BFA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Plazo estimado en días calendario</w:t>
            </w:r>
            <w:r w:rsidR="00E52AEC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 por cada obra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AFDD102" w14:textId="7E045CBA" w:rsidR="00C26655" w:rsidRPr="00893BFA" w:rsidRDefault="00E52AEC" w:rsidP="00C266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Monto estimado S/. por cada obra</w:t>
            </w:r>
          </w:p>
        </w:tc>
      </w:tr>
      <w:tr w:rsidR="00874C40" w:rsidRPr="00893BFA" w14:paraId="2B2ACC96" w14:textId="77777777" w:rsidTr="000847CA">
        <w:trPr>
          <w:trHeight w:val="3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A4B2" w14:textId="55A20E57" w:rsidR="00874C40" w:rsidRPr="00874C40" w:rsidRDefault="00874C40" w:rsidP="00874C4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874C40">
              <w:rPr>
                <w:rFonts w:ascii="Calibri" w:hAnsi="Calibri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EAA" w14:textId="16B3FD48" w:rsidR="00874C40" w:rsidRPr="00874C40" w:rsidRDefault="00874C40" w:rsidP="00874C4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874C40">
              <w:rPr>
                <w:rFonts w:ascii="Calibri" w:hAnsi="Calibri"/>
                <w:sz w:val="16"/>
                <w:szCs w:val="16"/>
                <w:lang w:val="es-MX" w:eastAsia="es-MX"/>
              </w:rPr>
              <w:t>HABILITACIÓN FÍSICA DEL CENTRO DE MEJOR ATENCIÓN AL CIUDADANO”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6CF7" w14:textId="5B3D9E3E" w:rsidR="00874C40" w:rsidRPr="00874C40" w:rsidRDefault="00E52AEC" w:rsidP="00874C4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Puno, </w:t>
            </w:r>
            <w:r w:rsidR="00393452">
              <w:rPr>
                <w:rFonts w:ascii="Calibri" w:hAnsi="Calibri"/>
                <w:sz w:val="16"/>
                <w:szCs w:val="16"/>
                <w:lang w:val="es-MX" w:eastAsia="es-MX"/>
              </w:rPr>
              <w:t>Ica y Ayacucho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53E70" w14:textId="3AE84616" w:rsidR="00874C40" w:rsidRPr="00874C40" w:rsidRDefault="00E52AEC" w:rsidP="00874C4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sz w:val="16"/>
                <w:szCs w:val="16"/>
                <w:lang w:val="es-MX" w:eastAsia="es-MX"/>
              </w:rPr>
              <w:t>12</w:t>
            </w:r>
            <w:r w:rsidR="00874C40" w:rsidRPr="00874C40">
              <w:rPr>
                <w:rFonts w:ascii="Calibri" w:hAnsi="Calibri"/>
                <w:sz w:val="16"/>
                <w:szCs w:val="16"/>
                <w:lang w:val="es-MX" w:eastAsia="es-MX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828" w14:textId="77F7FC82" w:rsidR="00874C40" w:rsidRPr="00874C40" w:rsidRDefault="00E52AEC" w:rsidP="00874C4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4’500,000.00</w:t>
            </w:r>
          </w:p>
        </w:tc>
      </w:tr>
      <w:tr w:rsidR="00E52AEC" w:rsidRPr="00893BFA" w14:paraId="4E95AE86" w14:textId="1647E99C" w:rsidTr="00191DE1">
        <w:trPr>
          <w:trHeight w:val="367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F95" w14:textId="6AA9003E" w:rsidR="00E52AEC" w:rsidRPr="00893BFA" w:rsidRDefault="00E52AEC" w:rsidP="00E52AEC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0C8" w14:textId="718125E1" w:rsidR="00E52AEC" w:rsidRPr="00893BFA" w:rsidRDefault="00E52AEC" w:rsidP="00E52AEC">
            <w:pPr>
              <w:jc w:val="center"/>
              <w:rPr>
                <w:rFonts w:ascii="Calibri" w:hAnsi="Calibri"/>
                <w:sz w:val="15"/>
                <w:szCs w:val="15"/>
                <w:lang w:val="es-MX" w:eastAsia="es-MX"/>
              </w:rPr>
            </w:pPr>
            <w:r w:rsidRPr="00C26655">
              <w:rPr>
                <w:rFonts w:ascii="Calibri" w:hAnsi="Calibri"/>
                <w:sz w:val="16"/>
                <w:szCs w:val="16"/>
                <w:lang w:val="es-MX" w:eastAsia="es-MX"/>
              </w:rPr>
              <w:t>SUPERVISIÓN DE LA “HABILITACIÓN FÍSICA DEL CENTRO DE MEJOR ATENCIÓN AL CIUDADANO</w:t>
            </w:r>
            <w:r>
              <w:rPr>
                <w:rFonts w:ascii="Calibri" w:hAnsi="Calibri"/>
                <w:sz w:val="16"/>
                <w:szCs w:val="16"/>
                <w:lang w:val="es-MX" w:eastAsia="es-MX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807B" w14:textId="5F6CD43A" w:rsidR="00E52AEC" w:rsidRPr="00893BFA" w:rsidRDefault="00393452" w:rsidP="00E52AEC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sz w:val="16"/>
                <w:szCs w:val="16"/>
                <w:lang w:val="es-MX" w:eastAsia="es-MX"/>
              </w:rPr>
              <w:t>Puno, Ica y Ayacucho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90973" w14:textId="24A474F8" w:rsidR="00E52AEC" w:rsidRPr="00893BFA" w:rsidRDefault="00E52AEC" w:rsidP="00E52AEC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sz w:val="16"/>
                <w:szCs w:val="16"/>
                <w:lang w:val="es-MX" w:eastAsia="es-MX"/>
              </w:rPr>
              <w:t>1</w:t>
            </w:r>
            <w:r w:rsidR="00F54991">
              <w:rPr>
                <w:rFonts w:ascii="Calibri" w:hAnsi="Calibri"/>
                <w:sz w:val="16"/>
                <w:szCs w:val="16"/>
                <w:lang w:val="es-MX" w:eastAsia="es-MX"/>
              </w:rPr>
              <w:t>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BBC5" w14:textId="3AE21C1D" w:rsidR="00E52AEC" w:rsidRPr="00893BFA" w:rsidRDefault="00F54991" w:rsidP="00E52AEC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300,000.00</w:t>
            </w:r>
          </w:p>
        </w:tc>
      </w:tr>
    </w:tbl>
    <w:p w14:paraId="5F551B3A" w14:textId="08D8C640" w:rsidR="00BC3A4C" w:rsidRPr="00FE5FCC" w:rsidRDefault="00FE5FCC" w:rsidP="00FE5FCC">
      <w:pPr>
        <w:rPr>
          <w:rFonts w:asciiTheme="minorHAnsi" w:hAnsiTheme="minorHAnsi" w:cstheme="minorHAnsi"/>
          <w:sz w:val="15"/>
          <w:szCs w:val="15"/>
        </w:rPr>
      </w:pPr>
      <w:r w:rsidRPr="00FE5FCC">
        <w:rPr>
          <w:rFonts w:asciiTheme="minorHAnsi" w:hAnsiTheme="minorHAnsi" w:cstheme="minorHAnsi"/>
          <w:sz w:val="15"/>
          <w:szCs w:val="15"/>
        </w:rPr>
        <w:t xml:space="preserve">(*) Indicar a qué localidad (es) expresa interés  </w:t>
      </w:r>
    </w:p>
    <w:p w14:paraId="42CF4A58" w14:textId="77777777" w:rsidR="00FE5FCC" w:rsidRPr="00893BFA" w:rsidRDefault="00FE5FCC" w:rsidP="00FE5FCC">
      <w:pPr>
        <w:rPr>
          <w:rFonts w:ascii="Tahoma" w:hAnsi="Tahoma" w:cs="Tahoma"/>
          <w:sz w:val="13"/>
          <w:szCs w:val="13"/>
        </w:rPr>
      </w:pPr>
    </w:p>
    <w:p w14:paraId="7407010D" w14:textId="0A1956D8" w:rsidR="00A331C1" w:rsidRPr="006A7D18" w:rsidRDefault="00927AEC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S</w:t>
      </w:r>
      <w:r w:rsidR="007D7FD7" w:rsidRPr="00893BFA">
        <w:rPr>
          <w:rFonts w:asciiTheme="minorHAnsi" w:hAnsiTheme="minorHAnsi" w:cstheme="minorHAnsi"/>
          <w:sz w:val="17"/>
          <w:szCs w:val="17"/>
        </w:rPr>
        <w:t>e invita a</w:t>
      </w:r>
      <w:r w:rsidR="002E7FB2" w:rsidRPr="00893BFA">
        <w:rPr>
          <w:rFonts w:asciiTheme="minorHAnsi" w:hAnsiTheme="minorHAnsi" w:cstheme="minorHAnsi"/>
          <w:sz w:val="17"/>
          <w:szCs w:val="17"/>
        </w:rPr>
        <w:t xml:space="preserve"> presentar expresión de interés a</w:t>
      </w:r>
      <w:r w:rsidR="007D7FD7" w:rsidRPr="00893BFA">
        <w:rPr>
          <w:rFonts w:asciiTheme="minorHAnsi" w:hAnsiTheme="minorHAnsi" w:cstheme="minorHAnsi"/>
          <w:sz w:val="17"/>
          <w:szCs w:val="17"/>
        </w:rPr>
        <w:t xml:space="preserve"> </w:t>
      </w:r>
      <w:r w:rsidR="00714207" w:rsidRPr="00893BFA">
        <w:rPr>
          <w:rFonts w:asciiTheme="minorHAnsi" w:hAnsiTheme="minorHAnsi" w:cstheme="minorHAnsi"/>
          <w:b/>
          <w:sz w:val="17"/>
          <w:szCs w:val="17"/>
          <w:u w:val="single"/>
        </w:rPr>
        <w:t>contratistas</w:t>
      </w:r>
      <w:r w:rsidR="000E59ED" w:rsidRPr="00893BFA">
        <w:rPr>
          <w:rFonts w:asciiTheme="minorHAnsi" w:hAnsiTheme="minorHAnsi" w:cstheme="minorHAnsi"/>
          <w:b/>
          <w:sz w:val="17"/>
          <w:szCs w:val="17"/>
          <w:u w:val="single"/>
        </w:rPr>
        <w:t xml:space="preserve"> ejecutores y supervisores de obra</w:t>
      </w:r>
      <w:r w:rsidR="00560956" w:rsidRPr="00893BFA">
        <w:rPr>
          <w:rFonts w:asciiTheme="minorHAnsi" w:hAnsiTheme="minorHAnsi" w:cstheme="minorHAnsi"/>
          <w:sz w:val="17"/>
          <w:szCs w:val="17"/>
        </w:rPr>
        <w:t xml:space="preserve">, preferentemente </w:t>
      </w:r>
      <w:r w:rsidR="00560956" w:rsidRPr="006A7D18">
        <w:rPr>
          <w:rFonts w:asciiTheme="minorHAnsi" w:hAnsiTheme="minorHAnsi" w:cstheme="minorHAnsi"/>
          <w:sz w:val="17"/>
          <w:szCs w:val="17"/>
        </w:rPr>
        <w:t>de zonas geográficas aledañas</w:t>
      </w:r>
      <w:r w:rsidR="007D7FD7" w:rsidRPr="006A7D18">
        <w:rPr>
          <w:rFonts w:asciiTheme="minorHAnsi" w:hAnsiTheme="minorHAnsi" w:cstheme="minorHAnsi"/>
          <w:sz w:val="17"/>
          <w:szCs w:val="17"/>
        </w:rPr>
        <w:t xml:space="preserve">. Para ello </w:t>
      </w:r>
      <w:r w:rsidR="00A331C1" w:rsidRPr="006A7D18">
        <w:rPr>
          <w:rFonts w:asciiTheme="minorHAnsi" w:hAnsiTheme="minorHAnsi" w:cstheme="minorHAnsi"/>
          <w:sz w:val="17"/>
          <w:szCs w:val="17"/>
        </w:rPr>
        <w:t>deberán completar los formularios</w:t>
      </w:r>
      <w:r w:rsidR="004A34AA" w:rsidRPr="006A7D18">
        <w:rPr>
          <w:rFonts w:asciiTheme="minorHAnsi" w:hAnsiTheme="minorHAnsi" w:cstheme="minorHAnsi"/>
          <w:sz w:val="17"/>
          <w:szCs w:val="17"/>
        </w:rPr>
        <w:t xml:space="preserve"> </w:t>
      </w:r>
      <w:r w:rsidR="00A331C1" w:rsidRPr="006A7D18">
        <w:rPr>
          <w:rFonts w:asciiTheme="minorHAnsi" w:hAnsiTheme="minorHAnsi" w:cstheme="minorHAnsi"/>
          <w:sz w:val="17"/>
          <w:szCs w:val="17"/>
        </w:rPr>
        <w:t xml:space="preserve">que pueden obtener en </w:t>
      </w:r>
      <w:r w:rsidR="002E7FB2" w:rsidRPr="006A7D18">
        <w:rPr>
          <w:rFonts w:asciiTheme="minorHAnsi" w:hAnsiTheme="minorHAnsi" w:cstheme="minorHAnsi"/>
          <w:sz w:val="17"/>
          <w:szCs w:val="17"/>
        </w:rPr>
        <w:t>los siguientes links</w:t>
      </w:r>
      <w:r w:rsidR="00A331C1" w:rsidRPr="006A7D18">
        <w:rPr>
          <w:rFonts w:asciiTheme="minorHAnsi" w:hAnsiTheme="minorHAnsi" w:cstheme="minorHAnsi"/>
          <w:sz w:val="17"/>
          <w:szCs w:val="17"/>
        </w:rPr>
        <w:t>:</w:t>
      </w:r>
      <w:r w:rsidR="000847ED"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2E7FB2" w:rsidRPr="006A7D1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https://www.promsace.gob.pe/adquisiciones-y-consultorias</w:t>
        </w:r>
      </w:hyperlink>
      <w:r w:rsidR="002E7FB2" w:rsidRPr="006A7D18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   /   </w:t>
      </w:r>
      <w:hyperlink r:id="rId9" w:history="1">
        <w:r w:rsidR="002E7FB2" w:rsidRPr="006A7D1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http://convocatorias.pcm.gob.pe/convocatoriapromexpi.aspx</w:t>
        </w:r>
      </w:hyperlink>
      <w:r w:rsidR="00AF280D" w:rsidRPr="006A7D18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B01757" w:rsidRPr="006A7D18">
        <w:rPr>
          <w:rFonts w:asciiTheme="minorHAnsi" w:hAnsiTheme="minorHAnsi" w:cstheme="minorHAnsi"/>
          <w:sz w:val="17"/>
          <w:szCs w:val="17"/>
        </w:rPr>
        <w:t>.</w:t>
      </w:r>
      <w:r w:rsidR="007D7FD7" w:rsidRPr="006A7D18">
        <w:rPr>
          <w:rFonts w:asciiTheme="minorHAnsi" w:hAnsiTheme="minorHAnsi" w:cstheme="minorHAnsi"/>
          <w:sz w:val="17"/>
          <w:szCs w:val="17"/>
        </w:rPr>
        <w:t xml:space="preserve"> </w:t>
      </w:r>
      <w:r w:rsidR="00714207" w:rsidRPr="006A7D18">
        <w:rPr>
          <w:rFonts w:asciiTheme="minorHAnsi" w:hAnsiTheme="minorHAnsi" w:cstheme="minorHAnsi"/>
          <w:sz w:val="17"/>
          <w:szCs w:val="17"/>
        </w:rPr>
        <w:t>L</w:t>
      </w:r>
      <w:r w:rsidR="007669DB" w:rsidRPr="006A7D18">
        <w:rPr>
          <w:rFonts w:asciiTheme="minorHAnsi" w:hAnsiTheme="minorHAnsi" w:cstheme="minorHAnsi"/>
          <w:sz w:val="17"/>
          <w:szCs w:val="17"/>
        </w:rPr>
        <w:t>o</w:t>
      </w:r>
      <w:r w:rsidR="00714207" w:rsidRPr="006A7D18">
        <w:rPr>
          <w:rFonts w:asciiTheme="minorHAnsi" w:hAnsiTheme="minorHAnsi" w:cstheme="minorHAnsi"/>
          <w:sz w:val="17"/>
          <w:szCs w:val="17"/>
        </w:rPr>
        <w:t xml:space="preserve">s </w:t>
      </w:r>
      <w:r w:rsidR="007669DB" w:rsidRPr="006A7D18">
        <w:rPr>
          <w:rFonts w:asciiTheme="minorHAnsi" w:hAnsiTheme="minorHAnsi" w:cstheme="minorHAnsi"/>
          <w:sz w:val="17"/>
          <w:szCs w:val="17"/>
        </w:rPr>
        <w:t>contratistas</w:t>
      </w:r>
      <w:r w:rsidR="00714207" w:rsidRPr="006A7D18">
        <w:rPr>
          <w:rFonts w:asciiTheme="minorHAnsi" w:hAnsiTheme="minorHAnsi" w:cstheme="minorHAnsi"/>
          <w:sz w:val="17"/>
          <w:szCs w:val="17"/>
        </w:rPr>
        <w:t xml:space="preserve"> se podrán presentar en forma individual o asociada</w:t>
      </w:r>
      <w:r>
        <w:rPr>
          <w:rFonts w:asciiTheme="minorHAnsi" w:hAnsiTheme="minorHAnsi" w:cstheme="minorHAnsi"/>
          <w:sz w:val="17"/>
          <w:szCs w:val="17"/>
        </w:rPr>
        <w:t>.</w:t>
      </w:r>
    </w:p>
    <w:p w14:paraId="4BC05086" w14:textId="77777777" w:rsidR="001C58FA" w:rsidRPr="006A7D18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BDE07D0" w14:textId="303A95FA" w:rsidR="00AF280D" w:rsidRPr="00927AEC" w:rsidRDefault="007669DB" w:rsidP="00A331C1">
      <w:pPr>
        <w:jc w:val="both"/>
        <w:rPr>
          <w:rFonts w:asciiTheme="minorHAnsi" w:hAnsiTheme="minorHAnsi" w:cstheme="minorHAnsi"/>
          <w:i/>
          <w:iCs/>
          <w:sz w:val="17"/>
          <w:szCs w:val="17"/>
          <w:u w:val="single"/>
          <w:lang w:val="es-PE"/>
        </w:rPr>
      </w:pPr>
      <w:r w:rsidRPr="006A7D18">
        <w:rPr>
          <w:rFonts w:asciiTheme="minorHAnsi" w:hAnsiTheme="minorHAnsi" w:cstheme="minorHAnsi"/>
          <w:sz w:val="17"/>
          <w:szCs w:val="17"/>
        </w:rPr>
        <w:t>Los contratistas</w:t>
      </w:r>
      <w:r w:rsidR="00497013" w:rsidRPr="006A7D18">
        <w:rPr>
          <w:rFonts w:asciiTheme="minorHAnsi" w:hAnsiTheme="minorHAnsi" w:cstheme="minorHAnsi"/>
          <w:sz w:val="17"/>
          <w:szCs w:val="17"/>
        </w:rPr>
        <w:t xml:space="preserve"> </w:t>
      </w:r>
      <w:r w:rsidR="00927AEC">
        <w:rPr>
          <w:rFonts w:asciiTheme="minorHAnsi" w:hAnsiTheme="minorHAnsi" w:cstheme="minorHAnsi"/>
          <w:sz w:val="17"/>
          <w:szCs w:val="17"/>
        </w:rPr>
        <w:t xml:space="preserve">y consultores </w:t>
      </w:r>
      <w:r w:rsidR="00497013" w:rsidRPr="006A7D18">
        <w:rPr>
          <w:rFonts w:asciiTheme="minorHAnsi" w:hAnsiTheme="minorHAnsi" w:cstheme="minorHAnsi"/>
          <w:sz w:val="17"/>
          <w:szCs w:val="17"/>
        </w:rPr>
        <w:t>serán seleccionado</w:t>
      </w:r>
      <w:r w:rsidR="00A331C1" w:rsidRPr="006A7D18">
        <w:rPr>
          <w:rFonts w:asciiTheme="minorHAnsi" w:hAnsiTheme="minorHAnsi" w:cstheme="minorHAnsi"/>
          <w:sz w:val="17"/>
          <w:szCs w:val="17"/>
        </w:rPr>
        <w:t xml:space="preserve">s conforme a los procedimientos indicados en </w:t>
      </w:r>
      <w:r w:rsidR="00927AEC">
        <w:rPr>
          <w:rFonts w:asciiTheme="minorHAnsi" w:hAnsiTheme="minorHAnsi" w:cstheme="minorHAnsi"/>
          <w:sz w:val="17"/>
          <w:szCs w:val="17"/>
        </w:rPr>
        <w:t>las</w:t>
      </w:r>
      <w:r w:rsidR="00A331C1" w:rsidRPr="006A7D18">
        <w:rPr>
          <w:rFonts w:asciiTheme="minorHAnsi" w:hAnsiTheme="minorHAnsi" w:cstheme="minorHAnsi"/>
          <w:sz w:val="17"/>
          <w:szCs w:val="17"/>
        </w:rPr>
        <w:t xml:space="preserve"> </w:t>
      </w:r>
      <w:r w:rsidR="00714207" w:rsidRPr="006A7D18">
        <w:rPr>
          <w:rFonts w:asciiTheme="minorHAnsi" w:hAnsiTheme="minorHAnsi" w:cstheme="minorHAnsi"/>
          <w:i/>
          <w:iCs/>
          <w:sz w:val="17"/>
          <w:szCs w:val="17"/>
          <w:u w:val="single"/>
          <w:lang w:val="es-PE"/>
        </w:rPr>
        <w:t>Políticas para la Adquisición de Bienes y Obras</w:t>
      </w:r>
      <w:r w:rsidR="00927AEC">
        <w:rPr>
          <w:rFonts w:asciiTheme="minorHAnsi" w:hAnsiTheme="minorHAnsi" w:cstheme="minorHAnsi"/>
          <w:i/>
          <w:iCs/>
          <w:sz w:val="17"/>
          <w:szCs w:val="17"/>
          <w:u w:val="single"/>
          <w:lang w:val="es-PE"/>
        </w:rPr>
        <w:t xml:space="preserve">; y </w:t>
      </w:r>
      <w:r w:rsidR="00927AEC" w:rsidRPr="0044687C">
        <w:rPr>
          <w:rFonts w:asciiTheme="minorHAnsi" w:hAnsiTheme="minorHAnsi" w:cstheme="minorHAnsi"/>
          <w:i/>
          <w:iCs/>
          <w:sz w:val="17"/>
          <w:szCs w:val="17"/>
          <w:u w:val="single"/>
        </w:rPr>
        <w:t xml:space="preserve">Contratación de </w:t>
      </w:r>
      <w:r w:rsidR="00927AEC" w:rsidRPr="00927AEC">
        <w:rPr>
          <w:rFonts w:asciiTheme="minorHAnsi" w:hAnsiTheme="minorHAnsi" w:cstheme="minorHAnsi"/>
          <w:i/>
          <w:iCs/>
          <w:sz w:val="17"/>
          <w:szCs w:val="17"/>
          <w:u w:val="single"/>
        </w:rPr>
        <w:t xml:space="preserve">Consultores </w:t>
      </w:r>
      <w:r w:rsidR="00927AEC" w:rsidRPr="00927AEC">
        <w:rPr>
          <w:rFonts w:asciiTheme="minorHAnsi" w:hAnsiTheme="minorHAnsi" w:cstheme="minorHAnsi"/>
          <w:i/>
          <w:iCs/>
          <w:sz w:val="17"/>
          <w:szCs w:val="17"/>
        </w:rPr>
        <w:t>(GN-2349-15) y (GN-2350-15)</w:t>
      </w:r>
      <w:r w:rsidR="00A331C1" w:rsidRPr="0094409F">
        <w:rPr>
          <w:rFonts w:asciiTheme="minorHAnsi" w:hAnsiTheme="minorHAnsi" w:cstheme="minorHAnsi"/>
          <w:sz w:val="17"/>
          <w:szCs w:val="17"/>
        </w:rPr>
        <w:t xml:space="preserve"> </w:t>
      </w:r>
      <w:r w:rsidR="00714207" w:rsidRPr="0094409F">
        <w:rPr>
          <w:rFonts w:asciiTheme="minorHAnsi" w:hAnsiTheme="minorHAnsi" w:cstheme="minorHAnsi"/>
          <w:sz w:val="17"/>
          <w:szCs w:val="17"/>
        </w:rPr>
        <w:t>mayo 2019</w:t>
      </w:r>
      <w:r w:rsidR="00A331C1" w:rsidRPr="0094409F">
        <w:rPr>
          <w:rFonts w:asciiTheme="minorHAnsi" w:hAnsiTheme="minorHAnsi" w:cstheme="minorHAnsi"/>
          <w:sz w:val="17"/>
          <w:szCs w:val="17"/>
        </w:rPr>
        <w:t xml:space="preserve">, </w:t>
      </w:r>
      <w:r w:rsidRPr="0094409F">
        <w:rPr>
          <w:rFonts w:asciiTheme="minorHAnsi" w:hAnsiTheme="minorHAnsi" w:cstheme="minorHAnsi"/>
          <w:sz w:val="17"/>
          <w:szCs w:val="17"/>
        </w:rPr>
        <w:t>y podrán participar todo</w:t>
      </w:r>
      <w:r w:rsidR="00117AA8" w:rsidRPr="0094409F">
        <w:rPr>
          <w:rFonts w:asciiTheme="minorHAnsi" w:hAnsiTheme="minorHAnsi" w:cstheme="minorHAnsi"/>
          <w:sz w:val="17"/>
          <w:szCs w:val="17"/>
        </w:rPr>
        <w:t xml:space="preserve">s </w:t>
      </w:r>
      <w:r w:rsidRPr="0094409F">
        <w:rPr>
          <w:rFonts w:asciiTheme="minorHAnsi" w:hAnsiTheme="minorHAnsi" w:cstheme="minorHAnsi"/>
          <w:sz w:val="17"/>
          <w:szCs w:val="17"/>
        </w:rPr>
        <w:t>los contratistas</w:t>
      </w:r>
      <w:r w:rsidR="00117AA8" w:rsidRPr="0094409F">
        <w:rPr>
          <w:rFonts w:asciiTheme="minorHAnsi" w:hAnsiTheme="minorHAnsi" w:cstheme="minorHAnsi"/>
          <w:sz w:val="17"/>
          <w:szCs w:val="17"/>
        </w:rPr>
        <w:t xml:space="preserve"> de países de origen que sean elegibles (</w:t>
      </w:r>
      <w:r w:rsidR="00117AA8" w:rsidRPr="0094409F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</w:t>
      </w:r>
      <w:r w:rsidR="00117AA8" w:rsidRPr="006A7D18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://</w:t>
      </w:r>
      <w:hyperlink r:id="rId10" w:history="1">
        <w:r w:rsidR="00117AA8" w:rsidRPr="006A7D18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6A7D18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 w:rsidRPr="006A7D18">
        <w:rPr>
          <w:rFonts w:asciiTheme="minorHAnsi" w:hAnsiTheme="minorHAnsi" w:cstheme="minorHAnsi"/>
          <w:sz w:val="17"/>
          <w:szCs w:val="17"/>
        </w:rPr>
        <w:t>).</w:t>
      </w:r>
    </w:p>
    <w:p w14:paraId="7FDE75F3" w14:textId="385EFE06"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</w:p>
    <w:p w14:paraId="145FDEBF" w14:textId="30C661D6" w:rsidR="00A331C1" w:rsidRPr="006A7D18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6A7D18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 w:rsidRPr="006A7D18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6A7D18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 w:rsidRPr="006A7D18">
        <w:rPr>
          <w:rFonts w:asciiTheme="minorHAnsi" w:hAnsiTheme="minorHAnsi" w:cstheme="minorHAnsi"/>
          <w:sz w:val="17"/>
          <w:szCs w:val="17"/>
        </w:rPr>
        <w:t>l</w:t>
      </w:r>
      <w:r w:rsidRPr="006A7D18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 w:rsidRPr="006A7D18">
        <w:rPr>
          <w:rFonts w:asciiTheme="minorHAnsi" w:hAnsiTheme="minorHAnsi" w:cstheme="minorHAnsi"/>
          <w:sz w:val="17"/>
          <w:szCs w:val="17"/>
        </w:rPr>
        <w:t>s</w:t>
      </w:r>
      <w:r w:rsidRPr="006A7D18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6A7D18">
        <w:rPr>
          <w:rFonts w:asciiTheme="minorHAnsi" w:hAnsiTheme="minorHAnsi" w:cstheme="minorHAnsi"/>
          <w:sz w:val="17"/>
          <w:szCs w:val="17"/>
        </w:rPr>
        <w:t xml:space="preserve">las </w:t>
      </w:r>
      <w:r w:rsidR="00312511" w:rsidRPr="00312511">
        <w:rPr>
          <w:rFonts w:asciiTheme="minorHAnsi" w:hAnsiTheme="minorHAnsi" w:cstheme="minorHAnsi"/>
          <w:b/>
          <w:sz w:val="17"/>
          <w:szCs w:val="17"/>
        </w:rPr>
        <w:t>09</w:t>
      </w:r>
      <w:r w:rsidR="00404D8E" w:rsidRPr="00312511">
        <w:rPr>
          <w:rFonts w:asciiTheme="minorHAnsi" w:hAnsiTheme="minorHAnsi" w:cstheme="minorHAnsi"/>
          <w:b/>
          <w:sz w:val="17"/>
          <w:szCs w:val="17"/>
        </w:rPr>
        <w:t>:</w:t>
      </w:r>
      <w:r w:rsidR="00312511" w:rsidRPr="00312511">
        <w:rPr>
          <w:rFonts w:asciiTheme="minorHAnsi" w:hAnsiTheme="minorHAnsi" w:cstheme="minorHAnsi"/>
          <w:b/>
          <w:sz w:val="17"/>
          <w:szCs w:val="17"/>
        </w:rPr>
        <w:t>0</w:t>
      </w:r>
      <w:r w:rsidR="00312511">
        <w:rPr>
          <w:rFonts w:asciiTheme="minorHAnsi" w:hAnsiTheme="minorHAnsi" w:cstheme="minorHAnsi"/>
          <w:b/>
          <w:sz w:val="17"/>
          <w:szCs w:val="17"/>
        </w:rPr>
        <w:t>0</w:t>
      </w:r>
      <w:r w:rsidRPr="006A7D18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312511">
        <w:rPr>
          <w:rFonts w:asciiTheme="minorHAnsi" w:hAnsiTheme="minorHAnsi" w:cstheme="minorHAnsi"/>
          <w:b/>
          <w:sz w:val="17"/>
          <w:szCs w:val="17"/>
        </w:rPr>
        <w:t>27</w:t>
      </w:r>
      <w:r w:rsidR="00F8413F" w:rsidRPr="006A7D18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312511">
        <w:rPr>
          <w:rFonts w:asciiTheme="minorHAnsi" w:hAnsiTheme="minorHAnsi" w:cstheme="minorHAnsi"/>
          <w:b/>
          <w:sz w:val="17"/>
          <w:szCs w:val="17"/>
        </w:rPr>
        <w:t>abril</w:t>
      </w:r>
      <w:r w:rsidR="00D629FF" w:rsidRPr="006A7D18">
        <w:rPr>
          <w:rFonts w:asciiTheme="minorHAnsi" w:hAnsiTheme="minorHAnsi" w:cstheme="minorHAnsi"/>
          <w:b/>
          <w:sz w:val="17"/>
          <w:szCs w:val="17"/>
        </w:rPr>
        <w:t xml:space="preserve"> de 202</w:t>
      </w:r>
      <w:r w:rsidR="00312511">
        <w:rPr>
          <w:rFonts w:asciiTheme="minorHAnsi" w:hAnsiTheme="minorHAnsi" w:cstheme="minorHAnsi"/>
          <w:b/>
          <w:sz w:val="17"/>
          <w:szCs w:val="17"/>
        </w:rPr>
        <w:t>3</w:t>
      </w:r>
      <w:r w:rsidRPr="006A7D18">
        <w:rPr>
          <w:rFonts w:asciiTheme="minorHAnsi" w:hAnsiTheme="minorHAnsi" w:cstheme="minorHAnsi"/>
          <w:b/>
          <w:sz w:val="17"/>
          <w:szCs w:val="17"/>
        </w:rPr>
        <w:t>.</w:t>
      </w:r>
    </w:p>
    <w:p w14:paraId="3CF0F56B" w14:textId="77777777" w:rsidR="00A331C1" w:rsidRPr="006A7D18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303CDE9" w14:textId="77777777" w:rsidR="00A331C1" w:rsidRPr="006A7D18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D18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331C1" w:rsidRPr="00893BFA" w14:paraId="2BBF5698" w14:textId="77777777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8149" w14:textId="545DC6A7" w:rsidR="00A331C1" w:rsidRDefault="00A331C1" w:rsidP="000E59ED">
            <w:pPr>
              <w:ind w:left="29" w:hanging="29"/>
              <w:jc w:val="both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893BFA">
              <w:rPr>
                <w:rFonts w:asciiTheme="minorHAnsi" w:hAnsiTheme="minorHAnsi" w:cstheme="minorHAnsi"/>
                <w:b/>
                <w:sz w:val="17"/>
                <w:szCs w:val="17"/>
              </w:rPr>
              <w:t>“Remite Expresión de Interés –</w:t>
            </w:r>
            <w:r w:rsidR="000E59ED" w:rsidRPr="00893BFA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  <w:r w:rsidR="000262F9" w:rsidRPr="000262F9">
              <w:rPr>
                <w:rFonts w:ascii="Calibri" w:hAnsi="Calibri"/>
                <w:sz w:val="16"/>
                <w:szCs w:val="16"/>
                <w:lang w:val="es-MX" w:eastAsia="es-MX"/>
              </w:rPr>
              <w:t>HABILITACIÓN FÍSICA DEL CENTRO DE MEJOR ATENCIÓN AL CIUDADANO (señalar la localidad o localidades que expresa interés)</w:t>
            </w:r>
            <w:r w:rsidR="000262F9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” </w:t>
            </w:r>
            <w:proofErr w:type="spellStart"/>
            <w:r w:rsidR="000262F9">
              <w:rPr>
                <w:rFonts w:ascii="Calibri" w:hAnsi="Calibri"/>
                <w:sz w:val="16"/>
                <w:szCs w:val="16"/>
                <w:lang w:val="es-MX" w:eastAsia="es-MX"/>
              </w:rPr>
              <w:t>ó</w:t>
            </w:r>
            <w:proofErr w:type="spellEnd"/>
            <w:r w:rsidR="000262F9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  <w:r w:rsidR="000262F9" w:rsidRPr="00893BFA">
              <w:rPr>
                <w:rFonts w:asciiTheme="minorHAnsi" w:hAnsiTheme="minorHAnsi" w:cstheme="minorHAnsi"/>
                <w:b/>
                <w:sz w:val="17"/>
                <w:szCs w:val="17"/>
              </w:rPr>
              <w:t>“Remite Expresión de Interés –</w:t>
            </w:r>
            <w:r w:rsidR="000262F9" w:rsidRPr="00893BFA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  <w:r w:rsidR="000262F9" w:rsidRPr="000262F9">
              <w:rPr>
                <w:rFonts w:ascii="Calibri" w:hAnsi="Calibri"/>
                <w:sz w:val="16"/>
                <w:szCs w:val="16"/>
                <w:lang w:val="es-MX" w:eastAsia="es-MX"/>
              </w:rPr>
              <w:t>SUPERVISIÓN DE LA “HABILITACIÓN FÍSICA DEL CENTRO DE MEJOR ATENCIÓN AL CIUDADANO” (señalar la localidad o localidades que expresa interés)</w:t>
            </w:r>
            <w:r w:rsidR="000262F9">
              <w:rPr>
                <w:rFonts w:ascii="Calibri" w:hAnsi="Calibri"/>
                <w:sz w:val="16"/>
                <w:szCs w:val="16"/>
                <w:lang w:val="es-MX" w:eastAsia="es-MX"/>
              </w:rPr>
              <w:t>”</w:t>
            </w:r>
          </w:p>
          <w:p w14:paraId="43FF146C" w14:textId="1529E853" w:rsidR="000262F9" w:rsidRPr="00893BFA" w:rsidRDefault="000262F9" w:rsidP="000E59ED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14:paraId="6669CA27" w14:textId="77777777" w:rsidR="00A331C1" w:rsidRPr="00893BFA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C20116F" w14:textId="77777777" w:rsidR="00C45574" w:rsidRPr="00893BFA" w:rsidRDefault="00693E82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893BFA">
        <w:rPr>
          <w:rFonts w:asciiTheme="minorHAnsi" w:hAnsiTheme="minorHAnsi" w:cstheme="minorHAnsi"/>
          <w:sz w:val="16"/>
          <w:szCs w:val="16"/>
        </w:rPr>
        <w:t>Proyecto Mejoramiento y Ampliación de los Servicios de Soporte para la Provisión de los Servicios a los Ciudadanos y las Empresas a Nivel Nacional (PROMSACE)</w:t>
      </w:r>
      <w:r w:rsidR="00A331C1" w:rsidRPr="00893BFA">
        <w:rPr>
          <w:rFonts w:asciiTheme="minorHAnsi" w:hAnsiTheme="minorHAnsi" w:cstheme="minorHAnsi"/>
          <w:sz w:val="16"/>
          <w:szCs w:val="16"/>
        </w:rPr>
        <w:t>.</w:t>
      </w:r>
      <w:r w:rsidR="00C45574" w:rsidRPr="00893BFA">
        <w:rPr>
          <w:rFonts w:asciiTheme="minorHAnsi" w:hAnsiTheme="minorHAnsi" w:cstheme="minorHAnsi"/>
          <w:sz w:val="16"/>
          <w:szCs w:val="16"/>
        </w:rPr>
        <w:t xml:space="preserve"> </w:t>
      </w:r>
      <w:r w:rsidRPr="00893BFA">
        <w:rPr>
          <w:rFonts w:asciiTheme="minorHAnsi" w:hAnsiTheme="minorHAnsi" w:cstheme="minorHAnsi"/>
          <w:sz w:val="16"/>
          <w:szCs w:val="16"/>
        </w:rPr>
        <w:t>Unidad Ejecutora 0</w:t>
      </w:r>
      <w:r w:rsidR="00A331C1" w:rsidRPr="00893BFA">
        <w:rPr>
          <w:rFonts w:asciiTheme="minorHAnsi" w:hAnsiTheme="minorHAnsi" w:cstheme="minorHAnsi"/>
          <w:sz w:val="16"/>
          <w:szCs w:val="16"/>
        </w:rPr>
        <w:t xml:space="preserve">18 </w:t>
      </w:r>
      <w:r w:rsidRPr="00893BFA">
        <w:rPr>
          <w:rFonts w:asciiTheme="minorHAnsi" w:hAnsiTheme="minorHAnsi" w:cstheme="minorHAnsi"/>
          <w:sz w:val="16"/>
          <w:szCs w:val="16"/>
        </w:rPr>
        <w:t>–</w:t>
      </w:r>
      <w:r w:rsidR="00A331C1" w:rsidRPr="00893BFA">
        <w:rPr>
          <w:rFonts w:asciiTheme="minorHAnsi" w:hAnsiTheme="minorHAnsi" w:cstheme="minorHAnsi"/>
          <w:sz w:val="16"/>
          <w:szCs w:val="16"/>
        </w:rPr>
        <w:t xml:space="preserve"> </w:t>
      </w:r>
      <w:r w:rsidRPr="00893BFA">
        <w:rPr>
          <w:rFonts w:asciiTheme="minorHAnsi" w:hAnsiTheme="minorHAnsi" w:cstheme="minorHAnsi"/>
          <w:sz w:val="16"/>
          <w:szCs w:val="16"/>
        </w:rPr>
        <w:t>Presidencia del Consejo de Ministros</w:t>
      </w:r>
      <w:r w:rsidR="00C45574" w:rsidRPr="00893BFA">
        <w:rPr>
          <w:rFonts w:asciiTheme="minorHAnsi" w:hAnsiTheme="minorHAnsi" w:cstheme="minorHAnsi"/>
          <w:sz w:val="16"/>
          <w:szCs w:val="16"/>
        </w:rPr>
        <w:t>.</w:t>
      </w:r>
    </w:p>
    <w:p w14:paraId="01B3E653" w14:textId="2296A1CE" w:rsidR="00A331C1" w:rsidRPr="00893BFA" w:rsidRDefault="00C45574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893BFA">
        <w:rPr>
          <w:rFonts w:asciiTheme="minorHAnsi" w:hAnsiTheme="minorHAnsi" w:cstheme="minorHAnsi"/>
          <w:sz w:val="16"/>
          <w:szCs w:val="16"/>
        </w:rPr>
        <w:t xml:space="preserve">Dirección: </w:t>
      </w:r>
      <w:r w:rsidR="00E52AEC" w:rsidRPr="00E52AEC">
        <w:rPr>
          <w:rFonts w:asciiTheme="minorHAnsi" w:hAnsiTheme="minorHAnsi" w:cstheme="minorHAnsi"/>
          <w:sz w:val="16"/>
          <w:szCs w:val="16"/>
        </w:rPr>
        <w:t>Avenida Javier Prado Oeste N° 2108 - Urb. Santa Rosa - San Isidro</w:t>
      </w:r>
      <w:r w:rsidR="00536364" w:rsidRPr="00893BFA">
        <w:rPr>
          <w:rFonts w:asciiTheme="minorHAnsi" w:hAnsiTheme="minorHAnsi" w:cstheme="minorHAnsi"/>
          <w:sz w:val="16"/>
          <w:szCs w:val="16"/>
        </w:rPr>
        <w:t>, Perú</w:t>
      </w:r>
    </w:p>
    <w:p w14:paraId="6D97BB11" w14:textId="79243FAE"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6A7D18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="00693E82" w:rsidRPr="006A7D18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adquisiciones@promsace.gob.pe</w:t>
        </w:r>
      </w:hyperlink>
      <w:r w:rsidRPr="006A7D18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</w:t>
      </w:r>
      <w:r w:rsidR="00C45574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/ </w:t>
      </w:r>
      <w:r w:rsidRPr="006A7D18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site: </w:t>
      </w:r>
      <w:r w:rsidR="00693E82" w:rsidRPr="006A7D18">
        <w:rPr>
          <w:rStyle w:val="Hipervnculo"/>
          <w:rFonts w:asciiTheme="minorHAnsi" w:hAnsiTheme="minorHAnsi" w:cstheme="minorHAnsi"/>
          <w:b/>
          <w:sz w:val="17"/>
          <w:szCs w:val="17"/>
        </w:rPr>
        <w:t>https://www.promsace.gob.pe/</w:t>
      </w:r>
    </w:p>
    <w:p w14:paraId="70F06EDD" w14:textId="77777777"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5D2B" w14:textId="77777777" w:rsidR="002A7D69" w:rsidRDefault="002A7D69" w:rsidP="00AE3B0C">
      <w:r>
        <w:separator/>
      </w:r>
    </w:p>
  </w:endnote>
  <w:endnote w:type="continuationSeparator" w:id="0">
    <w:p w14:paraId="4BBEADC7" w14:textId="77777777" w:rsidR="002A7D69" w:rsidRDefault="002A7D69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93B8" w14:textId="77777777" w:rsidR="002A7D69" w:rsidRDefault="002A7D69" w:rsidP="00AE3B0C">
      <w:r>
        <w:separator/>
      </w:r>
    </w:p>
  </w:footnote>
  <w:footnote w:type="continuationSeparator" w:id="0">
    <w:p w14:paraId="5EA07F53" w14:textId="77777777" w:rsidR="002A7D69" w:rsidRDefault="002A7D69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8EE60" w14:textId="77777777" w:rsidR="00AE3B0C" w:rsidRPr="004759FD" w:rsidRDefault="00086C49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353629">
      <w:rPr>
        <w:i/>
        <w:noProof/>
        <w:sz w:val="20"/>
        <w:lang w:val="es-PE" w:eastAsia="es-PE"/>
      </w:rPr>
      <w:drawing>
        <wp:anchor distT="0" distB="0" distL="114300" distR="114300" simplePos="0" relativeHeight="251660288" behindDoc="1" locked="0" layoutInCell="1" allowOverlap="1" wp14:anchorId="6580E7F2" wp14:editId="1D4F12A5">
          <wp:simplePos x="0" y="0"/>
          <wp:positionH relativeFrom="column">
            <wp:posOffset>-138430</wp:posOffset>
          </wp:positionH>
          <wp:positionV relativeFrom="paragraph">
            <wp:posOffset>6985</wp:posOffset>
          </wp:positionV>
          <wp:extent cx="2562225" cy="523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D8B14B6" wp14:editId="5BA682FA">
          <wp:simplePos x="0" y="0"/>
          <wp:positionH relativeFrom="column">
            <wp:posOffset>3852545</wp:posOffset>
          </wp:positionH>
          <wp:positionV relativeFrom="paragraph">
            <wp:posOffset>6985</wp:posOffset>
          </wp:positionV>
          <wp:extent cx="2138045" cy="6032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 xml:space="preserve"> Básica</w:t>
    </w:r>
  </w:p>
  <w:p w14:paraId="374DB0B1" w14:textId="77777777" w:rsidR="00AE3B0C" w:rsidRDefault="00AE3B0C">
    <w:pPr>
      <w:pStyle w:val="Encabezado"/>
    </w:pPr>
  </w:p>
  <w:p w14:paraId="3A804BA5" w14:textId="77777777" w:rsidR="00086C49" w:rsidRDefault="00086C49" w:rsidP="00086C49">
    <w:pPr>
      <w:pStyle w:val="Ttulo"/>
      <w:rPr>
        <w:rFonts w:ascii="Calibri" w:hAnsi="Calibri"/>
        <w:b w:val="0"/>
        <w:color w:val="808080"/>
        <w:sz w:val="18"/>
        <w:szCs w:val="18"/>
      </w:rPr>
    </w:pPr>
  </w:p>
  <w:p w14:paraId="66E2CE82" w14:textId="77777777" w:rsidR="00086C49" w:rsidRDefault="00086C49" w:rsidP="00086C49">
    <w:pPr>
      <w:pStyle w:val="Ttulo"/>
      <w:rPr>
        <w:rFonts w:ascii="Calibri" w:hAnsi="Calibri"/>
        <w:b w:val="0"/>
        <w:color w:val="808080"/>
        <w:sz w:val="18"/>
        <w:szCs w:val="18"/>
      </w:rPr>
    </w:pPr>
    <w:r>
      <w:rPr>
        <w:rFonts w:ascii="Calibri" w:hAnsi="Calibri"/>
        <w:b w:val="0"/>
        <w:color w:val="808080"/>
        <w:sz w:val="18"/>
        <w:szCs w:val="18"/>
      </w:rPr>
      <w:t>“Decenio de la igualdad de oportunidades para mujeres y hombres”</w:t>
    </w:r>
  </w:p>
  <w:p w14:paraId="26193BB4" w14:textId="18D0453B" w:rsidR="00086C49" w:rsidRPr="00086C49" w:rsidRDefault="00086C49" w:rsidP="00086C49">
    <w:pPr>
      <w:pStyle w:val="Encabezado"/>
      <w:jc w:val="center"/>
      <w:rPr>
        <w:rFonts w:ascii="Calibri" w:hAnsi="Calibri"/>
        <w:color w:val="808080"/>
        <w:sz w:val="18"/>
        <w:szCs w:val="18"/>
      </w:rPr>
    </w:pPr>
    <w:r>
      <w:rPr>
        <w:rFonts w:ascii="Calibri" w:hAnsi="Calibri"/>
        <w:color w:val="808080"/>
        <w:sz w:val="18"/>
        <w:szCs w:val="18"/>
      </w:rPr>
      <w:t>“</w:t>
    </w:r>
    <w:r w:rsidR="00393452" w:rsidRPr="00393452">
      <w:rPr>
        <w:rFonts w:ascii="Calibri" w:hAnsi="Calibri"/>
        <w:color w:val="808080"/>
        <w:sz w:val="18"/>
        <w:szCs w:val="18"/>
      </w:rPr>
      <w:t>Año de la unidad, la paz y el desarrollo</w:t>
    </w:r>
    <w:r>
      <w:rPr>
        <w:rFonts w:ascii="Calibri" w:hAnsi="Calibri"/>
        <w:color w:val="808080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267D"/>
    <w:multiLevelType w:val="hybridMultilevel"/>
    <w:tmpl w:val="929847DE"/>
    <w:lvl w:ilvl="0" w:tplc="B53A126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0728F"/>
    <w:rsid w:val="00016B0C"/>
    <w:rsid w:val="00020DBF"/>
    <w:rsid w:val="000262F9"/>
    <w:rsid w:val="00046554"/>
    <w:rsid w:val="00052910"/>
    <w:rsid w:val="000847CA"/>
    <w:rsid w:val="000847ED"/>
    <w:rsid w:val="00086C49"/>
    <w:rsid w:val="000A3810"/>
    <w:rsid w:val="000A3A01"/>
    <w:rsid w:val="000C154E"/>
    <w:rsid w:val="000D66FE"/>
    <w:rsid w:val="000E59ED"/>
    <w:rsid w:val="000E70BE"/>
    <w:rsid w:val="000E72EC"/>
    <w:rsid w:val="000F7542"/>
    <w:rsid w:val="00117AA8"/>
    <w:rsid w:val="00121FF1"/>
    <w:rsid w:val="00143BD4"/>
    <w:rsid w:val="0016187E"/>
    <w:rsid w:val="0016584F"/>
    <w:rsid w:val="00172DC3"/>
    <w:rsid w:val="00191DE1"/>
    <w:rsid w:val="001C58FA"/>
    <w:rsid w:val="001D1465"/>
    <w:rsid w:val="001D516A"/>
    <w:rsid w:val="001E5736"/>
    <w:rsid w:val="001F11B5"/>
    <w:rsid w:val="00204A08"/>
    <w:rsid w:val="00217859"/>
    <w:rsid w:val="00221F81"/>
    <w:rsid w:val="00243365"/>
    <w:rsid w:val="002470D8"/>
    <w:rsid w:val="00255EB7"/>
    <w:rsid w:val="00263F67"/>
    <w:rsid w:val="00272FE5"/>
    <w:rsid w:val="002A7D69"/>
    <w:rsid w:val="002B7053"/>
    <w:rsid w:val="002C1E17"/>
    <w:rsid w:val="002D409D"/>
    <w:rsid w:val="002E121B"/>
    <w:rsid w:val="002E299A"/>
    <w:rsid w:val="002E7FB2"/>
    <w:rsid w:val="00312511"/>
    <w:rsid w:val="00336032"/>
    <w:rsid w:val="00341E2B"/>
    <w:rsid w:val="00372460"/>
    <w:rsid w:val="00377A67"/>
    <w:rsid w:val="003809EC"/>
    <w:rsid w:val="0038426A"/>
    <w:rsid w:val="00385FD7"/>
    <w:rsid w:val="00393452"/>
    <w:rsid w:val="003A3835"/>
    <w:rsid w:val="003A496F"/>
    <w:rsid w:val="003C22C5"/>
    <w:rsid w:val="003C4155"/>
    <w:rsid w:val="003C7519"/>
    <w:rsid w:val="003D2029"/>
    <w:rsid w:val="003D637C"/>
    <w:rsid w:val="004015C8"/>
    <w:rsid w:val="00404D8E"/>
    <w:rsid w:val="00404FE0"/>
    <w:rsid w:val="00422B37"/>
    <w:rsid w:val="0044687C"/>
    <w:rsid w:val="0045231D"/>
    <w:rsid w:val="00460E72"/>
    <w:rsid w:val="004634EF"/>
    <w:rsid w:val="004807B7"/>
    <w:rsid w:val="004874FF"/>
    <w:rsid w:val="004957F4"/>
    <w:rsid w:val="00497013"/>
    <w:rsid w:val="004A34AA"/>
    <w:rsid w:val="004A4A42"/>
    <w:rsid w:val="004A72D7"/>
    <w:rsid w:val="004A7DE9"/>
    <w:rsid w:val="004D2244"/>
    <w:rsid w:val="004D4052"/>
    <w:rsid w:val="004E3293"/>
    <w:rsid w:val="004F025B"/>
    <w:rsid w:val="00515DBE"/>
    <w:rsid w:val="00536364"/>
    <w:rsid w:val="005363E4"/>
    <w:rsid w:val="00560956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F7894"/>
    <w:rsid w:val="0063708F"/>
    <w:rsid w:val="00642F6C"/>
    <w:rsid w:val="00651FC0"/>
    <w:rsid w:val="0067540B"/>
    <w:rsid w:val="00693E82"/>
    <w:rsid w:val="006A49F8"/>
    <w:rsid w:val="006A7D18"/>
    <w:rsid w:val="006B09D9"/>
    <w:rsid w:val="006C2A9C"/>
    <w:rsid w:val="00705656"/>
    <w:rsid w:val="00714207"/>
    <w:rsid w:val="00721803"/>
    <w:rsid w:val="00757F70"/>
    <w:rsid w:val="007669DB"/>
    <w:rsid w:val="007739BC"/>
    <w:rsid w:val="00790390"/>
    <w:rsid w:val="00790AD5"/>
    <w:rsid w:val="007919B9"/>
    <w:rsid w:val="00796028"/>
    <w:rsid w:val="007B06A6"/>
    <w:rsid w:val="007B30B1"/>
    <w:rsid w:val="007B6BF3"/>
    <w:rsid w:val="007C0BF7"/>
    <w:rsid w:val="007C7119"/>
    <w:rsid w:val="007C74E8"/>
    <w:rsid w:val="007D7FD7"/>
    <w:rsid w:val="007F1EA2"/>
    <w:rsid w:val="007F6819"/>
    <w:rsid w:val="00843CA1"/>
    <w:rsid w:val="008477A3"/>
    <w:rsid w:val="00850455"/>
    <w:rsid w:val="008530EC"/>
    <w:rsid w:val="00853FA9"/>
    <w:rsid w:val="00874C40"/>
    <w:rsid w:val="0089245A"/>
    <w:rsid w:val="00893BFA"/>
    <w:rsid w:val="008A5076"/>
    <w:rsid w:val="008A5A8B"/>
    <w:rsid w:val="008A720A"/>
    <w:rsid w:val="008B00B7"/>
    <w:rsid w:val="008B7111"/>
    <w:rsid w:val="008C125C"/>
    <w:rsid w:val="008C7D09"/>
    <w:rsid w:val="008E27C9"/>
    <w:rsid w:val="008F05F0"/>
    <w:rsid w:val="008F24B6"/>
    <w:rsid w:val="00925BD1"/>
    <w:rsid w:val="00927AEC"/>
    <w:rsid w:val="00943E8A"/>
    <w:rsid w:val="0094409F"/>
    <w:rsid w:val="009462B2"/>
    <w:rsid w:val="00947D00"/>
    <w:rsid w:val="00951EF2"/>
    <w:rsid w:val="00954544"/>
    <w:rsid w:val="00956B71"/>
    <w:rsid w:val="0096747B"/>
    <w:rsid w:val="009862DE"/>
    <w:rsid w:val="009869DD"/>
    <w:rsid w:val="009D6D65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D6E08"/>
    <w:rsid w:val="00AE3B0C"/>
    <w:rsid w:val="00AF280D"/>
    <w:rsid w:val="00B01757"/>
    <w:rsid w:val="00B10CA2"/>
    <w:rsid w:val="00B30196"/>
    <w:rsid w:val="00B418B4"/>
    <w:rsid w:val="00B4191A"/>
    <w:rsid w:val="00B41B3B"/>
    <w:rsid w:val="00B4596A"/>
    <w:rsid w:val="00B603C7"/>
    <w:rsid w:val="00B7692F"/>
    <w:rsid w:val="00B83142"/>
    <w:rsid w:val="00B9289D"/>
    <w:rsid w:val="00B94B29"/>
    <w:rsid w:val="00BB3623"/>
    <w:rsid w:val="00BC3A4C"/>
    <w:rsid w:val="00BC5EE7"/>
    <w:rsid w:val="00BC68D4"/>
    <w:rsid w:val="00C0336E"/>
    <w:rsid w:val="00C06B02"/>
    <w:rsid w:val="00C26655"/>
    <w:rsid w:val="00C4093E"/>
    <w:rsid w:val="00C45574"/>
    <w:rsid w:val="00C610E9"/>
    <w:rsid w:val="00C75A00"/>
    <w:rsid w:val="00C95573"/>
    <w:rsid w:val="00CA23A8"/>
    <w:rsid w:val="00CB121F"/>
    <w:rsid w:val="00CC34D8"/>
    <w:rsid w:val="00CD07B2"/>
    <w:rsid w:val="00CE7A58"/>
    <w:rsid w:val="00CF3F2C"/>
    <w:rsid w:val="00CF7C38"/>
    <w:rsid w:val="00D02C5F"/>
    <w:rsid w:val="00D14936"/>
    <w:rsid w:val="00D21E71"/>
    <w:rsid w:val="00D33DBB"/>
    <w:rsid w:val="00D35C74"/>
    <w:rsid w:val="00D40775"/>
    <w:rsid w:val="00D55EFB"/>
    <w:rsid w:val="00D60D4D"/>
    <w:rsid w:val="00D62344"/>
    <w:rsid w:val="00D629FF"/>
    <w:rsid w:val="00D73C24"/>
    <w:rsid w:val="00D76559"/>
    <w:rsid w:val="00D876E8"/>
    <w:rsid w:val="00D947DE"/>
    <w:rsid w:val="00DB59C3"/>
    <w:rsid w:val="00DC64B2"/>
    <w:rsid w:val="00DD5E99"/>
    <w:rsid w:val="00DD6115"/>
    <w:rsid w:val="00DE2837"/>
    <w:rsid w:val="00E061CD"/>
    <w:rsid w:val="00E37CD7"/>
    <w:rsid w:val="00E43AD9"/>
    <w:rsid w:val="00E52AEC"/>
    <w:rsid w:val="00E559DD"/>
    <w:rsid w:val="00E667FC"/>
    <w:rsid w:val="00E75C13"/>
    <w:rsid w:val="00E82EEE"/>
    <w:rsid w:val="00E971F5"/>
    <w:rsid w:val="00EB4CDB"/>
    <w:rsid w:val="00EB77DF"/>
    <w:rsid w:val="00EE0642"/>
    <w:rsid w:val="00EF0C44"/>
    <w:rsid w:val="00F0727E"/>
    <w:rsid w:val="00F15E70"/>
    <w:rsid w:val="00F21E01"/>
    <w:rsid w:val="00F26527"/>
    <w:rsid w:val="00F31A67"/>
    <w:rsid w:val="00F34DBC"/>
    <w:rsid w:val="00F41DCD"/>
    <w:rsid w:val="00F43D3B"/>
    <w:rsid w:val="00F51F55"/>
    <w:rsid w:val="00F54991"/>
    <w:rsid w:val="00F70B3D"/>
    <w:rsid w:val="00F8413F"/>
    <w:rsid w:val="00F93A5F"/>
    <w:rsid w:val="00FB0A8B"/>
    <w:rsid w:val="00FB1BD0"/>
    <w:rsid w:val="00FD62EB"/>
    <w:rsid w:val="00FE2CF3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F207D7"/>
  <w15:docId w15:val="{2EA99403-B97F-4B83-A5CD-A9087D8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  <w:style w:type="paragraph" w:styleId="Ttulo">
    <w:name w:val="Title"/>
    <w:basedOn w:val="Normal"/>
    <w:link w:val="TtuloCar"/>
    <w:qFormat/>
    <w:rsid w:val="00086C49"/>
    <w:pPr>
      <w:jc w:val="center"/>
    </w:pPr>
    <w:rPr>
      <w:b/>
      <w:szCs w:val="20"/>
      <w:lang w:eastAsia="x-none"/>
    </w:rPr>
  </w:style>
  <w:style w:type="character" w:customStyle="1" w:styleId="TtuloCar">
    <w:name w:val="Título Car"/>
    <w:basedOn w:val="Fuentedeprrafopredeter"/>
    <w:link w:val="Ttulo"/>
    <w:rsid w:val="00086C49"/>
    <w:rPr>
      <w:rFonts w:ascii="Times New Roman" w:eastAsia="Times New Roman" w:hAnsi="Times New Roman" w:cs="Times New Roman"/>
      <w:b/>
      <w:sz w:val="24"/>
      <w:szCs w:val="20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sace.gob.pe/adquisiciones-y-consultori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romsace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ocatorias.pcm.gob.pe/convocatoriapromexpi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6A67-A0FC-45B7-ABB3-6F500F9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Lupe Riveros</cp:lastModifiedBy>
  <cp:revision>5</cp:revision>
  <cp:lastPrinted>2019-05-14T19:41:00Z</cp:lastPrinted>
  <dcterms:created xsi:type="dcterms:W3CDTF">2022-07-25T20:42:00Z</dcterms:created>
  <dcterms:modified xsi:type="dcterms:W3CDTF">2023-04-24T15:14:00Z</dcterms:modified>
</cp:coreProperties>
</file>